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1BAFE267"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7BDDD8C9"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xml:space="preserve">, portador(a) da Carteira de Identidade nº ................., expedida </w:t>
      </w:r>
      <w:r w:rsidRPr="00D6665A">
        <w:rPr>
          <w:rFonts w:ascii="Arial" w:hAnsi="Arial" w:cs="Arial"/>
          <w:sz w:val="22"/>
          <w:szCs w:val="22"/>
        </w:rPr>
        <w:t>pela (o) .................., e CPF nº .........................,</w:t>
      </w:r>
      <w:r w:rsidR="009872FB" w:rsidRPr="00D6665A">
        <w:rPr>
          <w:rFonts w:ascii="Arial" w:hAnsi="Arial" w:cs="Arial"/>
          <w:sz w:val="22"/>
          <w:szCs w:val="22"/>
        </w:rPr>
        <w:t xml:space="preserve"> </w:t>
      </w:r>
      <w:r w:rsidR="009872FB" w:rsidRPr="00D6665A">
        <w:rPr>
          <w:rFonts w:ascii="Arial" w:hAnsi="Arial" w:cs="Arial"/>
          <w:i/>
          <w:iCs/>
          <w:sz w:val="22"/>
          <w:szCs w:val="22"/>
          <w:lang w:val="pt-PT"/>
        </w:rPr>
        <w:t xml:space="preserve">conforme atos constitutivos da empresa </w:t>
      </w:r>
      <w:r w:rsidR="009872FB" w:rsidRPr="00D6665A">
        <w:rPr>
          <w:rFonts w:ascii="Arial" w:hAnsi="Arial" w:cs="Arial"/>
          <w:b/>
          <w:bCs/>
          <w:i/>
          <w:iCs/>
          <w:sz w:val="22"/>
          <w:szCs w:val="22"/>
          <w:lang w:val="pt-PT"/>
        </w:rPr>
        <w:t>OU</w:t>
      </w:r>
      <w:r w:rsidR="009872FB" w:rsidRPr="00D6665A">
        <w:rPr>
          <w:rFonts w:ascii="Arial" w:hAnsi="Arial" w:cs="Arial"/>
          <w:i/>
          <w:iCs/>
          <w:sz w:val="22"/>
          <w:szCs w:val="22"/>
          <w:lang w:val="pt-PT"/>
        </w:rPr>
        <w:t xml:space="preserve"> procuração apresentada nos autos</w:t>
      </w:r>
      <w:r w:rsidRPr="00D6665A">
        <w:rPr>
          <w:rFonts w:ascii="Arial" w:hAnsi="Arial" w:cs="Arial"/>
          <w:sz w:val="22"/>
          <w:szCs w:val="22"/>
        </w:rPr>
        <w:t xml:space="preserve"> tendo em vista o que consta no </w:t>
      </w:r>
      <w:r w:rsidR="005466C3" w:rsidRPr="00D6665A">
        <w:rPr>
          <w:rFonts w:ascii="Arial" w:hAnsi="Arial" w:cs="Arial"/>
          <w:b/>
          <w:bCs/>
          <w:sz w:val="22"/>
          <w:szCs w:val="22"/>
        </w:rPr>
        <w:t xml:space="preserve">Processo Administrativo nº </w:t>
      </w:r>
      <w:r w:rsidR="00D6665A" w:rsidRPr="00D6665A">
        <w:rPr>
          <w:rFonts w:ascii="Arial" w:hAnsi="Arial" w:cs="Arial"/>
          <w:b/>
          <w:bCs/>
          <w:sz w:val="22"/>
          <w:szCs w:val="22"/>
        </w:rPr>
        <w:t>32.534/2025</w:t>
      </w:r>
      <w:r w:rsidR="0071720D" w:rsidRPr="00D6665A">
        <w:rPr>
          <w:rFonts w:ascii="Arial" w:hAnsi="Arial" w:cs="Arial"/>
          <w:b/>
          <w:bCs/>
          <w:sz w:val="22"/>
          <w:szCs w:val="22"/>
        </w:rPr>
        <w:t>,</w:t>
      </w:r>
      <w:r w:rsidR="005466C3" w:rsidRPr="00D6665A">
        <w:rPr>
          <w:rFonts w:ascii="Arial" w:hAnsi="Arial" w:cs="Arial"/>
          <w:b/>
          <w:bCs/>
          <w:sz w:val="22"/>
          <w:szCs w:val="22"/>
        </w:rPr>
        <w:t xml:space="preserve"> </w:t>
      </w:r>
      <w:r w:rsidRPr="00D6665A">
        <w:rPr>
          <w:rFonts w:ascii="Arial" w:hAnsi="Arial" w:cs="Arial"/>
          <w:sz w:val="22"/>
          <w:szCs w:val="22"/>
        </w:rPr>
        <w:t xml:space="preserve">e em observância às disposições da Lei nº </w:t>
      </w:r>
      <w:r w:rsidR="00F232EF" w:rsidRPr="00D6665A">
        <w:rPr>
          <w:rFonts w:ascii="Arial" w:hAnsi="Arial" w:cs="Arial"/>
          <w:sz w:val="22"/>
          <w:szCs w:val="22"/>
        </w:rPr>
        <w:t xml:space="preserve">14.133, </w:t>
      </w:r>
      <w:r w:rsidR="009872FB" w:rsidRPr="00D6665A">
        <w:rPr>
          <w:rFonts w:ascii="Arial" w:hAnsi="Arial" w:cs="Arial"/>
          <w:sz w:val="22"/>
          <w:szCs w:val="22"/>
        </w:rPr>
        <w:t xml:space="preserve">de 1º de abril </w:t>
      </w:r>
      <w:r w:rsidR="00F232EF" w:rsidRPr="00D6665A">
        <w:rPr>
          <w:rFonts w:ascii="Arial" w:hAnsi="Arial" w:cs="Arial"/>
          <w:sz w:val="22"/>
          <w:szCs w:val="22"/>
        </w:rPr>
        <w:t>de 2021</w:t>
      </w:r>
      <w:r w:rsidR="0050761F" w:rsidRPr="00D6665A">
        <w:rPr>
          <w:rFonts w:ascii="Arial" w:hAnsi="Arial" w:cs="Arial"/>
          <w:sz w:val="22"/>
          <w:szCs w:val="22"/>
        </w:rPr>
        <w:t xml:space="preserve"> </w:t>
      </w:r>
      <w:r w:rsidR="0050761F" w:rsidRPr="00D6665A">
        <w:rPr>
          <w:rFonts w:ascii="Arial" w:hAnsi="Arial" w:cs="Arial"/>
          <w:sz w:val="22"/>
          <w:szCs w:val="22"/>
          <w:lang w:val="pt-PT"/>
        </w:rPr>
        <w:t xml:space="preserve">e </w:t>
      </w:r>
      <w:r w:rsidR="009872FB" w:rsidRPr="00D6665A">
        <w:rPr>
          <w:rFonts w:ascii="Arial" w:hAnsi="Arial" w:cs="Arial"/>
          <w:sz w:val="22"/>
          <w:szCs w:val="22"/>
          <w:lang w:val="pt-PT"/>
        </w:rPr>
        <w:t>demais legislações aplicáveis</w:t>
      </w:r>
      <w:r w:rsidR="006306EF" w:rsidRPr="00D6665A">
        <w:rPr>
          <w:rFonts w:ascii="Arial" w:hAnsi="Arial" w:cs="Arial"/>
          <w:sz w:val="22"/>
          <w:szCs w:val="22"/>
        </w:rPr>
        <w:t>,</w:t>
      </w:r>
      <w:r w:rsidRPr="00D6665A">
        <w:rPr>
          <w:rFonts w:ascii="Arial" w:hAnsi="Arial" w:cs="Arial"/>
          <w:i/>
          <w:sz w:val="22"/>
          <w:szCs w:val="22"/>
        </w:rPr>
        <w:t xml:space="preserve"> </w:t>
      </w:r>
      <w:r w:rsidRPr="00D6665A">
        <w:rPr>
          <w:rFonts w:ascii="Arial" w:hAnsi="Arial" w:cs="Arial"/>
          <w:sz w:val="22"/>
          <w:szCs w:val="22"/>
        </w:rPr>
        <w:t xml:space="preserve">resolvem celebrar o presente Termo de Contrato, decorrente do </w:t>
      </w:r>
      <w:r w:rsidR="005466C3" w:rsidRPr="00D6665A">
        <w:rPr>
          <w:rFonts w:ascii="Arial" w:hAnsi="Arial" w:cs="Arial"/>
          <w:b/>
          <w:bCs/>
          <w:sz w:val="22"/>
          <w:szCs w:val="22"/>
        </w:rPr>
        <w:t>Pregão Eletrônico</w:t>
      </w:r>
      <w:r w:rsidR="000B23ED" w:rsidRPr="00D6665A">
        <w:rPr>
          <w:rFonts w:ascii="Arial" w:hAnsi="Arial" w:cs="Arial"/>
          <w:b/>
          <w:bCs/>
          <w:sz w:val="22"/>
          <w:szCs w:val="22"/>
        </w:rPr>
        <w:t xml:space="preserve"> </w:t>
      </w:r>
      <w:r w:rsidR="005466C3" w:rsidRPr="00D6665A">
        <w:rPr>
          <w:rFonts w:ascii="Arial" w:hAnsi="Arial" w:cs="Arial"/>
          <w:b/>
          <w:bCs/>
          <w:sz w:val="22"/>
          <w:szCs w:val="22"/>
        </w:rPr>
        <w:t xml:space="preserve">nº </w:t>
      </w:r>
      <w:r w:rsidR="00D6665A" w:rsidRPr="00D6665A">
        <w:rPr>
          <w:rFonts w:ascii="Arial" w:hAnsi="Arial" w:cs="Arial"/>
          <w:b/>
          <w:bCs/>
          <w:sz w:val="22"/>
          <w:szCs w:val="22"/>
        </w:rPr>
        <w:t>90.162/2025</w:t>
      </w:r>
      <w:r w:rsidRPr="00D6665A">
        <w:rPr>
          <w:rFonts w:ascii="Arial" w:hAnsi="Arial" w:cs="Arial"/>
          <w:sz w:val="22"/>
          <w:szCs w:val="22"/>
        </w:rPr>
        <w:t xml:space="preserve">, mediante as </w:t>
      </w:r>
      <w:r w:rsidRPr="008C13A3">
        <w:rPr>
          <w:rFonts w:ascii="Arial" w:hAnsi="Arial" w:cs="Arial"/>
          <w:sz w:val="22"/>
          <w:szCs w:val="22"/>
        </w:rPr>
        <w:t>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0E247A43"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D6665A" w:rsidRPr="00D6665A">
        <w:rPr>
          <w:rFonts w:ascii="Arial" w:eastAsiaTheme="majorEastAsia" w:hAnsi="Arial" w:cs="Arial"/>
          <w:b/>
          <w:bCs/>
          <w:lang w:val="pt-BR" w:eastAsia="pt-BR"/>
        </w:rPr>
        <w:t>CONTRATAÇÃO DE EMPRESA ESPECIALIZADA PARA O FORNECIMENTO DE MATERIAL PERMANENTE, PARA ATENDER AS NECESSIDADES DA SECRETARIA DE FAZENDA</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22228D76" w:rsidR="007B0D84" w:rsidRPr="006544D6" w:rsidRDefault="002D37A5" w:rsidP="006544D6">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6544D6">
        <w:rPr>
          <w:rFonts w:ascii="Arial" w:hAnsi="Arial" w:cs="Arial"/>
          <w:bCs/>
          <w:iCs/>
          <w:u w:val="single"/>
        </w:rPr>
        <w:t>MODELO DE EXECUÇÃO DO OBJETO (arts. 6º, XXIII, alínea “e” e 40, §1º, inciso II, da Lei nº 14.133/2021:</w:t>
      </w:r>
    </w:p>
    <w:p w14:paraId="526558CC" w14:textId="6DD80C4E"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O prazo de entrega do produto é de 30 (trinta) dias corridos, contados do dia seguinte do recebimento da Nota de Empenho, ou documento equivalente.</w:t>
      </w:r>
    </w:p>
    <w:p w14:paraId="150C6A3F" w14:textId="3CEAF1CE"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Caso não seja possível a entrega do produto na data assinalada, a empresa deverá comunicar as razões respectivas com pelo menos 7 (sete) dias de antecedência para que qualquer pleito de prorrogação de prazo seja analisado, ressalvadas situações de caso fortuito e força maior.</w:t>
      </w:r>
    </w:p>
    <w:p w14:paraId="1854A817" w14:textId="5D08C599"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Não será admitida, em nenhuma hipótese, troca/substituição de marca do produto ofertado após aprovação do catálogo, ou seja, a CONTRATADA deverá entregar o produto exatamente nas mesmas condições que fora aprovado. O não cumprimento desde subitem permitirá, por parte da CONTRATANTE, aplicação das sanções previstas neste Termo de Referência.</w:t>
      </w:r>
    </w:p>
    <w:p w14:paraId="02C12C7D" w14:textId="1F52F81E"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 xml:space="preserve">Os itens deverão ser entregues nos seguintes endereços e horários: </w:t>
      </w: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3021"/>
        <w:gridCol w:w="6043"/>
      </w:tblGrid>
      <w:tr w:rsidR="006544D6" w:rsidRPr="006544D6" w14:paraId="56F2FC1D" w14:textId="77777777" w:rsidTr="00F15062">
        <w:tc>
          <w:tcPr>
            <w:tcW w:w="3023" w:type="dxa"/>
            <w:tcBorders>
              <w:top w:val="single" w:sz="4" w:space="0" w:color="000000"/>
              <w:left w:val="single" w:sz="4" w:space="0" w:color="000000"/>
              <w:bottom w:val="single" w:sz="4" w:space="0" w:color="000000"/>
            </w:tcBorders>
          </w:tcPr>
          <w:p w14:paraId="47D45861" w14:textId="77777777" w:rsidR="006544D6" w:rsidRPr="006544D6" w:rsidRDefault="006544D6" w:rsidP="006544D6">
            <w:pPr>
              <w:pStyle w:val="Contedodatabela"/>
              <w:spacing w:line="360" w:lineRule="auto"/>
              <w:jc w:val="both"/>
              <w:rPr>
                <w:rFonts w:ascii="Arial" w:eastAsia="Verdana" w:hAnsi="Arial" w:cs="Arial"/>
                <w:bCs/>
                <w:iCs/>
                <w:sz w:val="22"/>
                <w:szCs w:val="22"/>
                <w:lang w:val="pt-PT" w:eastAsia="en-US"/>
              </w:rPr>
            </w:pPr>
            <w:r w:rsidRPr="006544D6">
              <w:rPr>
                <w:rFonts w:ascii="Arial" w:eastAsia="Verdana" w:hAnsi="Arial" w:cs="Arial"/>
                <w:bCs/>
                <w:iCs/>
                <w:sz w:val="22"/>
                <w:szCs w:val="22"/>
                <w:lang w:val="pt-PT" w:eastAsia="en-US"/>
              </w:rPr>
              <w:t>Nome do Requisitante</w:t>
            </w:r>
          </w:p>
        </w:tc>
        <w:tc>
          <w:tcPr>
            <w:tcW w:w="6047" w:type="dxa"/>
            <w:tcBorders>
              <w:top w:val="single" w:sz="4" w:space="0" w:color="000000"/>
              <w:left w:val="single" w:sz="4" w:space="0" w:color="000000"/>
              <w:bottom w:val="single" w:sz="4" w:space="0" w:color="000000"/>
              <w:right w:val="single" w:sz="4" w:space="0" w:color="000000"/>
            </w:tcBorders>
          </w:tcPr>
          <w:p w14:paraId="384F5815" w14:textId="77777777" w:rsidR="006544D6" w:rsidRPr="006544D6" w:rsidRDefault="006544D6" w:rsidP="006544D6">
            <w:pPr>
              <w:pStyle w:val="Contedodatabela"/>
              <w:spacing w:line="360" w:lineRule="auto"/>
              <w:jc w:val="both"/>
              <w:rPr>
                <w:rFonts w:ascii="Arial" w:eastAsia="Verdana" w:hAnsi="Arial" w:cs="Arial"/>
                <w:bCs/>
                <w:iCs/>
                <w:sz w:val="22"/>
                <w:szCs w:val="22"/>
                <w:lang w:val="pt-PT" w:eastAsia="en-US"/>
              </w:rPr>
            </w:pPr>
            <w:r w:rsidRPr="006544D6">
              <w:rPr>
                <w:rFonts w:ascii="Arial" w:eastAsia="Verdana" w:hAnsi="Arial" w:cs="Arial"/>
                <w:bCs/>
                <w:iCs/>
                <w:sz w:val="22"/>
                <w:szCs w:val="22"/>
                <w:lang w:val="pt-PT" w:eastAsia="en-US"/>
              </w:rPr>
              <w:t>Secretaria de Fazenda/Fundo Especial da Administração Fazendária e Tributária Municipal (FEAFTAM)</w:t>
            </w:r>
          </w:p>
        </w:tc>
      </w:tr>
      <w:tr w:rsidR="006544D6" w:rsidRPr="006544D6" w14:paraId="3EA53D84" w14:textId="77777777" w:rsidTr="00F15062">
        <w:tc>
          <w:tcPr>
            <w:tcW w:w="3023" w:type="dxa"/>
            <w:tcBorders>
              <w:left w:val="single" w:sz="4" w:space="0" w:color="000000"/>
              <w:bottom w:val="single" w:sz="4" w:space="0" w:color="000000"/>
            </w:tcBorders>
          </w:tcPr>
          <w:p w14:paraId="42BEC03F" w14:textId="77777777" w:rsidR="006544D6" w:rsidRPr="006544D6" w:rsidRDefault="006544D6" w:rsidP="006544D6">
            <w:pPr>
              <w:pStyle w:val="Contedodatabela"/>
              <w:spacing w:line="360" w:lineRule="auto"/>
              <w:jc w:val="both"/>
              <w:rPr>
                <w:rFonts w:ascii="Arial" w:eastAsia="Verdana" w:hAnsi="Arial" w:cs="Arial"/>
                <w:bCs/>
                <w:iCs/>
                <w:sz w:val="22"/>
                <w:szCs w:val="22"/>
                <w:lang w:val="pt-PT" w:eastAsia="en-US"/>
              </w:rPr>
            </w:pPr>
            <w:r w:rsidRPr="006544D6">
              <w:rPr>
                <w:rFonts w:ascii="Arial" w:eastAsia="Verdana" w:hAnsi="Arial" w:cs="Arial"/>
                <w:bCs/>
                <w:iCs/>
                <w:sz w:val="22"/>
                <w:szCs w:val="22"/>
                <w:lang w:val="pt-PT" w:eastAsia="en-US"/>
              </w:rPr>
              <w:t>Endereço</w:t>
            </w:r>
          </w:p>
        </w:tc>
        <w:tc>
          <w:tcPr>
            <w:tcW w:w="6047" w:type="dxa"/>
            <w:tcBorders>
              <w:left w:val="single" w:sz="4" w:space="0" w:color="000000"/>
              <w:bottom w:val="single" w:sz="4" w:space="0" w:color="000000"/>
              <w:right w:val="single" w:sz="4" w:space="0" w:color="000000"/>
            </w:tcBorders>
          </w:tcPr>
          <w:p w14:paraId="2AE21751" w14:textId="77777777" w:rsidR="006544D6" w:rsidRPr="006544D6" w:rsidRDefault="006544D6" w:rsidP="006544D6">
            <w:pPr>
              <w:pStyle w:val="Contedodatabela"/>
              <w:spacing w:line="360" w:lineRule="auto"/>
              <w:jc w:val="both"/>
              <w:rPr>
                <w:rFonts w:ascii="Arial" w:eastAsia="Verdana" w:hAnsi="Arial" w:cs="Arial"/>
                <w:bCs/>
                <w:iCs/>
                <w:sz w:val="22"/>
                <w:szCs w:val="22"/>
                <w:lang w:val="pt-PT" w:eastAsia="en-US"/>
              </w:rPr>
            </w:pPr>
            <w:r w:rsidRPr="006544D6">
              <w:rPr>
                <w:rFonts w:ascii="Arial" w:eastAsia="Verdana" w:hAnsi="Arial" w:cs="Arial"/>
                <w:bCs/>
                <w:iCs/>
                <w:sz w:val="22"/>
                <w:szCs w:val="22"/>
                <w:lang w:val="pt-PT" w:eastAsia="en-US"/>
              </w:rPr>
              <w:t>Av. Alberto Braune, nº 225 - Centro - Nova Friburgo –RJ.</w:t>
            </w:r>
          </w:p>
        </w:tc>
      </w:tr>
      <w:tr w:rsidR="006544D6" w:rsidRPr="006544D6" w14:paraId="12FD3C8B" w14:textId="77777777" w:rsidTr="00F15062">
        <w:tc>
          <w:tcPr>
            <w:tcW w:w="3023" w:type="dxa"/>
            <w:tcBorders>
              <w:left w:val="single" w:sz="4" w:space="0" w:color="000000"/>
              <w:bottom w:val="single" w:sz="4" w:space="0" w:color="000000"/>
            </w:tcBorders>
          </w:tcPr>
          <w:p w14:paraId="6435C88B" w14:textId="77777777" w:rsidR="006544D6" w:rsidRPr="006544D6" w:rsidRDefault="006544D6" w:rsidP="006544D6">
            <w:pPr>
              <w:pStyle w:val="Contedodatabela"/>
              <w:spacing w:line="360" w:lineRule="auto"/>
              <w:jc w:val="both"/>
              <w:rPr>
                <w:rFonts w:ascii="Arial" w:eastAsia="Verdana" w:hAnsi="Arial" w:cs="Arial"/>
                <w:bCs/>
                <w:iCs/>
                <w:sz w:val="22"/>
                <w:szCs w:val="22"/>
                <w:lang w:val="pt-PT" w:eastAsia="en-US"/>
              </w:rPr>
            </w:pPr>
            <w:r w:rsidRPr="006544D6">
              <w:rPr>
                <w:rFonts w:ascii="Arial" w:eastAsia="Verdana" w:hAnsi="Arial" w:cs="Arial"/>
                <w:bCs/>
                <w:iCs/>
                <w:sz w:val="22"/>
                <w:szCs w:val="22"/>
                <w:lang w:val="pt-PT" w:eastAsia="en-US"/>
              </w:rPr>
              <w:t>Horário de entrega</w:t>
            </w:r>
          </w:p>
        </w:tc>
        <w:tc>
          <w:tcPr>
            <w:tcW w:w="6047" w:type="dxa"/>
            <w:tcBorders>
              <w:left w:val="single" w:sz="4" w:space="0" w:color="000000"/>
              <w:bottom w:val="single" w:sz="4" w:space="0" w:color="000000"/>
              <w:right w:val="single" w:sz="4" w:space="0" w:color="000000"/>
            </w:tcBorders>
          </w:tcPr>
          <w:p w14:paraId="7E5B634B" w14:textId="77777777" w:rsidR="006544D6" w:rsidRPr="006544D6" w:rsidRDefault="006544D6" w:rsidP="006544D6">
            <w:pPr>
              <w:pStyle w:val="Contedodatabela"/>
              <w:spacing w:line="360" w:lineRule="auto"/>
              <w:jc w:val="both"/>
              <w:rPr>
                <w:rFonts w:ascii="Arial" w:eastAsia="Verdana" w:hAnsi="Arial" w:cs="Arial"/>
                <w:bCs/>
                <w:iCs/>
                <w:sz w:val="22"/>
                <w:szCs w:val="22"/>
                <w:lang w:val="pt-PT" w:eastAsia="en-US"/>
              </w:rPr>
            </w:pPr>
            <w:r w:rsidRPr="006544D6">
              <w:rPr>
                <w:rFonts w:ascii="Arial" w:eastAsia="Verdana" w:hAnsi="Arial" w:cs="Arial"/>
                <w:bCs/>
                <w:iCs/>
                <w:sz w:val="22"/>
                <w:szCs w:val="22"/>
                <w:lang w:val="pt-PT" w:eastAsia="en-US"/>
              </w:rPr>
              <w:t>Segunda a Sexta – das 9h às 16h</w:t>
            </w:r>
          </w:p>
        </w:tc>
      </w:tr>
    </w:tbl>
    <w:p w14:paraId="1808638F" w14:textId="7F2507CA"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lastRenderedPageBreak/>
        <w:t xml:space="preserve">Os bens serão recebidos provisoriamente, após a montagem dos itens ou em caso de entrega dos mesmos já montados, de forma sumária, no prazo de 2 (dois) dias úteis, pelo responsável pelo acompanhamento e fiscalização do contrato, para efeito de posterior verificação de sua conformidade com as especificações constantes neste Termo de Referência e na Proposta. </w:t>
      </w:r>
    </w:p>
    <w:p w14:paraId="14E02E3B" w14:textId="32CFD69B"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Os bens poderão ser rejeitados, no todo ou em parte, quando em desacordo com as especificações constantes neste Termo de Referência e na proposta, devendo ser substituídos no prazo de 3 (três) dias úteis, a contar da notificação da CONTRATADA, às suas custas, sem prejuízo da aplicação das penalidades.</w:t>
      </w:r>
    </w:p>
    <w:p w14:paraId="1330C6E2" w14:textId="77777777"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Os bens serão recebidos definitivamente no prazo de 2 (dois) dias, contados do recebimento provisório, após a verificação da qualidade e quantidade do material e consequente aceitação mediante termo detalhado. 5.7.1 Na hipótese de a verificação a que se refere o subitem anterior não ser procedida dentro do prazo fixado, reputar-se-à como realizada, consumando-se o recebimento definitivo no dia do esgotamento do prazo.</w:t>
      </w:r>
    </w:p>
    <w:p w14:paraId="48A6CC03" w14:textId="77777777"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3176BA62" w14:textId="77777777"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O prazo de garantia contratual dos bens, complementar à garantia legal, é de, no mínimo, 36 (trinta e seis) meses, ou pelo prazo fornecido pelo fabricante, se superior, contado a partir do primeiro dia útil subsequente à data do recebimento definitivo do objeto.</w:t>
      </w:r>
    </w:p>
    <w:p w14:paraId="477EC62E" w14:textId="77777777"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A garantia será prestada com vistas a manter os equipamentos fornecidos em perfeitas condições de uso, sem qualquer ônus ou custo adicional para o Contratante.</w:t>
      </w:r>
    </w:p>
    <w:p w14:paraId="78588767" w14:textId="77777777"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A garantia abrange a realização da manutenção corretiva dos bens pelo próprio Contratado, ou, se for o caso, por meio de assistência técnica autorizada, de acordo comas normas técnicas específicas.</w:t>
      </w:r>
    </w:p>
    <w:p w14:paraId="4212916C" w14:textId="77777777"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Entende-se por manutenção corretiva aquela destinada a corrigir os defeitos apresentados pelos bens, compreendendo a substituição de peças, a realização de ajustes, reparos e correções necessárias.</w:t>
      </w:r>
    </w:p>
    <w:p w14:paraId="45436AF9" w14:textId="77777777"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 xml:space="preserve">As peças que apresentarem vício ou defeito no período de vigência da garantia deverão ser substituídas por outras novas, de primeiro uso, e originais, que apresentem padrões de qualidade e desempenho iguais ou superiores aos das peças utilizadas na </w:t>
      </w:r>
      <w:r w:rsidRPr="006544D6">
        <w:rPr>
          <w:rFonts w:ascii="Arial" w:hAnsi="Arial" w:cs="Arial"/>
          <w:bCs/>
          <w:iCs/>
        </w:rPr>
        <w:lastRenderedPageBreak/>
        <w:t>fabricação do equipamento.</w:t>
      </w:r>
    </w:p>
    <w:p w14:paraId="442FF605" w14:textId="77777777" w:rsidR="006544D6" w:rsidRP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Uma vez notificado, o Contratado realizará a reparação ou substituição dos bens que apresentarem vício ou defeito no prazo de até 05 (cinco) dias úteis, contados a partir da data de retirada do equipamento das dependências da Administração pelo Contratado ou pela assistência técnica autorizada.</w:t>
      </w:r>
    </w:p>
    <w:p w14:paraId="5453683E" w14:textId="02B2FCDC" w:rsidR="006544D6" w:rsidRDefault="006544D6" w:rsidP="006544D6">
      <w:pPr>
        <w:pStyle w:val="PargrafodaLista"/>
        <w:numPr>
          <w:ilvl w:val="2"/>
          <w:numId w:val="2"/>
        </w:numPr>
        <w:spacing w:line="360" w:lineRule="auto"/>
        <w:ind w:left="0" w:firstLine="0"/>
        <w:jc w:val="both"/>
        <w:rPr>
          <w:rFonts w:ascii="Arial" w:hAnsi="Arial" w:cs="Arial"/>
          <w:bCs/>
          <w:iCs/>
        </w:rPr>
      </w:pPr>
      <w:r w:rsidRPr="006544D6">
        <w:rPr>
          <w:rFonts w:ascii="Arial" w:hAnsi="Arial" w:cs="Arial"/>
          <w:bCs/>
          <w:iCs/>
        </w:rPr>
        <w:t>O prazo indicado no subitem anterior, durante seu transcurso, poderá ser prorrogado uma única vez, por igual período, mediante solicitação escrita e justificada do Contratado, aceita pelo Contratante.</w:t>
      </w:r>
    </w:p>
    <w:p w14:paraId="279B33F4" w14:textId="77E3B8C3" w:rsidR="00A8233F" w:rsidRPr="00A8233F" w:rsidRDefault="00A8233F" w:rsidP="00A8233F">
      <w:pPr>
        <w:pStyle w:val="PargrafodaLista"/>
        <w:numPr>
          <w:ilvl w:val="1"/>
          <w:numId w:val="2"/>
        </w:numPr>
        <w:spacing w:line="360" w:lineRule="auto"/>
        <w:ind w:left="0" w:firstLine="0"/>
        <w:jc w:val="both"/>
        <w:rPr>
          <w:rFonts w:ascii="Arial" w:hAnsi="Arial" w:cs="Arial"/>
          <w:bCs/>
          <w:iCs/>
          <w:u w:val="single"/>
        </w:rPr>
      </w:pPr>
      <w:r w:rsidRPr="00A8233F">
        <w:rPr>
          <w:rFonts w:ascii="Arial" w:hAnsi="Arial" w:cs="Arial"/>
          <w:bCs/>
          <w:iCs/>
          <w:u w:val="single"/>
        </w:rPr>
        <w:t>MODELO DE GESTÃO DO CONTRATO (art. 6º, XXIII, alínea “f”, da Lei nº 14.133/21):</w:t>
      </w:r>
    </w:p>
    <w:p w14:paraId="7AE243EE" w14:textId="1F248F37"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O contrato deverá ser executado fielmente pelas partes, de acordo com as cláusulas avençadas e as normas da Lei nº 14.133, de 2021, em especial o que versa o art. 95 da referida Lei, e cada parte responderá pelas consequências de sua inexecução total ou parcial (Lei nº 14.133/2021, art. 115, caput).</w:t>
      </w:r>
    </w:p>
    <w:p w14:paraId="5554F500" w14:textId="491E2534"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3747DE70" w14:textId="75983E2E"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5B2D3591" w14:textId="0F56F1E2"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p>
    <w:p w14:paraId="706CF56E" w14:textId="31E6F4C1"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1F108389" w14:textId="22981B21"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O contratado será obrigado a reparar, corrigir, remover, reconstruir ou substituir, as suas expensas, no total ou em parte, o objeto do contrato em que se verificarem vícios, defeitos ou incorreções resultantes de sua execução ou de materiais nela empregados (Lei nº 14.133/2021, art. 119).</w:t>
      </w:r>
    </w:p>
    <w:p w14:paraId="5792DAF0" w14:textId="2237A773"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37E5FD8F" w14:textId="03F50B1F"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lastRenderedPageBreak/>
        <w:t>Somente o contratado será responsável pelos encargos trabalhistas, previdenciários, fiscais e comerciais resultantes da execução do contrato (Lei nº 14.133/2021, art. 121, caput).</w:t>
      </w:r>
    </w:p>
    <w:p w14:paraId="0D3D1EA9" w14:textId="634EBC22"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7CCDE659" w14:textId="5C235431"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020AE3F0" w14:textId="42ADBC30"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O órgão ou entidade poderá convocar representante da empresa para adoção de providências que devam ser cumpridas de imediato.</w:t>
      </w:r>
    </w:p>
    <w:p w14:paraId="76D72E8C" w14:textId="0991A456"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3821B230" w14:textId="26AC30C0"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7FBDB99E" w14:textId="2798212B"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45A847FC" w14:textId="77777777"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2E0AAAC1" w14:textId="77777777"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O(s) fiscal(is) designado pela Contratante deverá ter a experiência necessária para o acompanhamento e controle da execução dos serviços e do contrato;</w:t>
      </w:r>
    </w:p>
    <w:p w14:paraId="2F6FCAC4" w14:textId="77777777"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A verificação da adequação da prestação do serviço deverá ser realizada com base nos critérios previstos neste Termo de Referência;</w:t>
      </w:r>
    </w:p>
    <w:p w14:paraId="32F5AA11" w14:textId="46EA8EA9" w:rsidR="00A8233F" w:rsidRPr="00A8233F" w:rsidRDefault="00A8233F" w:rsidP="00A8233F">
      <w:pPr>
        <w:pStyle w:val="Nivel2"/>
        <w:numPr>
          <w:ilvl w:val="2"/>
          <w:numId w:val="2"/>
        </w:numPr>
        <w:spacing w:before="0" w:after="0" w:line="360" w:lineRule="auto"/>
        <w:ind w:left="0" w:firstLine="0"/>
        <w:rPr>
          <w:rFonts w:eastAsia="Verdana"/>
          <w:bCs/>
          <w:iCs/>
          <w:color w:val="auto"/>
          <w:sz w:val="22"/>
          <w:szCs w:val="22"/>
          <w:lang w:val="pt-PT" w:eastAsia="en-US"/>
        </w:rPr>
      </w:pPr>
      <w:r w:rsidRPr="00A8233F">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467E53"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67E53">
        <w:rPr>
          <w:rFonts w:ascii="Arial" w:hAnsi="Arial" w:cs="Arial"/>
          <w:bCs/>
          <w:iCs/>
        </w:rPr>
        <w:t>O valor total da contratação é de R$.......... (.....)</w:t>
      </w:r>
    </w:p>
    <w:p w14:paraId="19E0CAC1" w14:textId="3066B963" w:rsidR="001D32DF" w:rsidRPr="00467E53"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67E5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467E53"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67E53">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73619829" w14:textId="5D244339"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xml:space="preserve">6.1 As notas fiscais deverão ser emitidas em nome de: </w:t>
      </w:r>
      <w:r w:rsidRPr="00467E53">
        <w:rPr>
          <w:rFonts w:ascii="Arial" w:hAnsi="Arial" w:cs="Arial"/>
          <w:b/>
          <w:iCs/>
        </w:rPr>
        <w:t>Fundo Especial da Administração Fazendária e Tributária Municipal (FEAFTAM), CNPJ: 50.228.528/0001-90, ENDEREÇO: AVENIDA ALBERTO BRAUNE, 225 CENTRO, NOVA FRIBURGO - RJ, CEP: 28613-001</w:t>
      </w:r>
      <w:r>
        <w:rPr>
          <w:rFonts w:ascii="Arial" w:hAnsi="Arial" w:cs="Arial"/>
          <w:bCs/>
          <w:iCs/>
        </w:rPr>
        <w:t>.</w:t>
      </w:r>
    </w:p>
    <w:p w14:paraId="02174FEA" w14:textId="083EA1B5"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6.2 Todos os materiais deverão ser entregues nos endereços indicados no item 05 do Termo.</w:t>
      </w:r>
    </w:p>
    <w:p w14:paraId="53617097" w14:textId="0E8CA66F" w:rsidR="00467E53" w:rsidRPr="00467E53" w:rsidRDefault="00467E53" w:rsidP="00467E53">
      <w:pPr>
        <w:shd w:val="clear" w:color="auto" w:fill="FFFFFF" w:themeFill="background1"/>
        <w:overflowPunct w:val="0"/>
        <w:spacing w:line="360" w:lineRule="auto"/>
        <w:jc w:val="both"/>
        <w:rPr>
          <w:rFonts w:ascii="Arial" w:hAnsi="Arial" w:cs="Arial"/>
          <w:bCs/>
          <w:iCs/>
          <w:u w:val="single"/>
        </w:rPr>
      </w:pPr>
      <w:r w:rsidRPr="00467E53">
        <w:rPr>
          <w:rFonts w:ascii="Arial" w:hAnsi="Arial" w:cs="Arial"/>
          <w:bCs/>
          <w:iCs/>
          <w:u w:val="single"/>
        </w:rPr>
        <w:t>6.3 Da liquidação da despesa:</w:t>
      </w:r>
    </w:p>
    <w:p w14:paraId="5C292D9E" w14:textId="25AECD68"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6.3.1 A liquidação será realizada pela Secretaria de Fazenda, a partir do cumprimento das obrigações elencadas no Termo de Referência, em obediência aos Decretos:</w:t>
      </w:r>
    </w:p>
    <w:p w14:paraId="32C7F24C"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xml:space="preserve">I - 2480 de 30 de outubro de 2023. </w:t>
      </w:r>
    </w:p>
    <w:p w14:paraId="3BA716AA"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xml:space="preserve">https://www.pmnf.rj.gov.br/uploads/pagina/arquivos/DECRETO-2480-2023-301023.pdf </w:t>
      </w:r>
    </w:p>
    <w:p w14:paraId="141D556C"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xml:space="preserve">II - 2493 de 07 de novembro de 2023. </w:t>
      </w:r>
    </w:p>
    <w:p w14:paraId="4462C5A9"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xml:space="preserve">https://www.pmnf.rj.gov.br/uploads/pagina/arquivos/DECRETO-2493-2023-071123.pdf </w:t>
      </w:r>
    </w:p>
    <w:p w14:paraId="1C45AB6E"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xml:space="preserve">III - 3116/2024 de 18 de Setembro de 2024 </w:t>
      </w:r>
    </w:p>
    <w:p w14:paraId="37CE55EE"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xml:space="preserve">https://www.pmnf.rj.gov.br/uploads/pagina/arquivos/DECRETO-3116-2024-180924-ALTERACAO-ORDEM-CRONOLOGICA.pdf </w:t>
      </w:r>
    </w:p>
    <w:p w14:paraId="01C3636E" w14:textId="303A6E73" w:rsidR="00467E53" w:rsidRPr="00467E53" w:rsidRDefault="00467E53" w:rsidP="00467E53">
      <w:pPr>
        <w:shd w:val="clear" w:color="auto" w:fill="FFFFFF" w:themeFill="background1"/>
        <w:overflowPunct w:val="0"/>
        <w:spacing w:line="360" w:lineRule="auto"/>
        <w:jc w:val="both"/>
        <w:rPr>
          <w:rFonts w:ascii="Arial" w:hAnsi="Arial" w:cs="Arial"/>
          <w:bCs/>
          <w:iCs/>
          <w:u w:val="single"/>
        </w:rPr>
      </w:pPr>
      <w:r w:rsidRPr="00467E53">
        <w:rPr>
          <w:rFonts w:ascii="Arial" w:hAnsi="Arial" w:cs="Arial"/>
          <w:bCs/>
          <w:iCs/>
          <w:u w:val="single"/>
        </w:rPr>
        <w:t>6.4 Do pagamento da despesa:</w:t>
      </w:r>
    </w:p>
    <w:p w14:paraId="3FCA2FE1" w14:textId="6893A30E"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6.4.1 O pagamento será efetuado conforme estabelecem o Decreto n.º 2480/23, Decreto n.º2493/23 e Decreto nº 3116/2024, desde que as certidões listadas abaixo estejam dentro da validade:</w:t>
      </w:r>
    </w:p>
    <w:p w14:paraId="4A9B9811"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Negativa de Débitos Trabalhistas;</w:t>
      </w:r>
    </w:p>
    <w:p w14:paraId="4E25A00A"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Fazenda Federal – abrange as contribuições sociais;</w:t>
      </w:r>
    </w:p>
    <w:p w14:paraId="14796DA3"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FGTS;</w:t>
      </w:r>
    </w:p>
    <w:p w14:paraId="116FBD11"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lastRenderedPageBreak/>
        <w:t>- PGE – referente a Dívida Ativa Estadual;</w:t>
      </w:r>
    </w:p>
    <w:p w14:paraId="06B4E728"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Municipal – referente ao ISS e Dívida Ativa;</w:t>
      </w:r>
    </w:p>
    <w:p w14:paraId="6514A2ED" w14:textId="7777777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 CND Estadual – referente ao ICMS.</w:t>
      </w:r>
    </w:p>
    <w:p w14:paraId="63BB3D2E" w14:textId="78EC3F06"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6.4.2 A Nota Fiscal deverá conter a identificação do Banco, número da Agência e da Conta Corrente, para que possibilite ao CONTRATANTE efetuar o pagamento do valor devido;</w:t>
      </w:r>
    </w:p>
    <w:p w14:paraId="2126FACF" w14:textId="7D80BAAE"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6.4.3 Na ocorrência de rejeição das Notas Fiscais, motivada por erro ou incorreções, o prazo para pagamento estipulado acima passará a ser contado a partir da data de sua reapresentação.</w:t>
      </w:r>
    </w:p>
    <w:p w14:paraId="6F709CA8" w14:textId="5F550A14"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6.4.4 Consoante o art. 45 da Lei n.º 9.784/99, a Administração Pública poderá, motivadamente e sem a prévia manifestação do interessado, adotar providências acauteladoras, inclusive retendo o pagamento, em caso de risco iminente, como forma de prevenir a ocorrência de dano de difícil ou impossível reparação.</w:t>
      </w:r>
    </w:p>
    <w:p w14:paraId="4E36C17B" w14:textId="6A5A5D57" w:rsidR="00467E53" w:rsidRPr="00467E53" w:rsidRDefault="00467E53" w:rsidP="00467E53">
      <w:pPr>
        <w:shd w:val="clear" w:color="auto" w:fill="FFFFFF" w:themeFill="background1"/>
        <w:overflowPunct w:val="0"/>
        <w:spacing w:line="360" w:lineRule="auto"/>
        <w:jc w:val="both"/>
        <w:rPr>
          <w:rFonts w:ascii="Arial" w:hAnsi="Arial" w:cs="Arial"/>
          <w:bCs/>
          <w:iCs/>
        </w:rPr>
      </w:pPr>
      <w:r w:rsidRPr="00467E53">
        <w:rPr>
          <w:rFonts w:ascii="Arial" w:hAnsi="Arial" w:cs="Arial"/>
          <w:bCs/>
          <w:iCs/>
        </w:rPr>
        <w:t>6.4.5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A04B3A6" w14:textId="77777777" w:rsidR="00467E53" w:rsidRPr="00467E53" w:rsidRDefault="00467E53"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467E5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467E53">
        <w:rPr>
          <w:rFonts w:ascii="Arial" w:eastAsiaTheme="majorEastAsia" w:hAnsi="Arial" w:cs="Arial"/>
          <w:b/>
          <w:bCs/>
          <w:lang w:val="pt-BR" w:eastAsia="pt-BR"/>
        </w:rPr>
        <w:t>CLÁUSULA SÉTIMA - REAJUSTE (art. 92, V)</w:t>
      </w:r>
    </w:p>
    <w:p w14:paraId="6348F2F6" w14:textId="77777777" w:rsidR="0097688D" w:rsidRPr="00467E5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67E53">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67E53">
        <w:rPr>
          <w:rFonts w:ascii="Arial" w:hAnsi="Arial" w:cs="Arial"/>
          <w:bCs/>
          <w:iCs/>
        </w:rPr>
        <w:t>Após o interregno de um ano, e independentemente de pedido do contratado, os preços iniciais serão reajustados, mediante a aplicação, pelo contratante</w:t>
      </w:r>
      <w:r w:rsidRPr="008C13A3">
        <w:rPr>
          <w:rFonts w:ascii="Arial" w:hAnsi="Arial" w:cs="Arial"/>
          <w:bCs/>
          <w:iCs/>
        </w:rPr>
        <w:t xml:space="preserv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28056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manifestamente impertinentes, meramente protelatórios ou de nenhum interesse para a boa </w:t>
      </w:r>
      <w:r w:rsidRPr="00280564">
        <w:rPr>
          <w:rFonts w:ascii="Arial" w:hAnsi="Arial" w:cs="Arial"/>
          <w:bCs/>
          <w:iCs/>
          <w:lang w:val="pt-BR"/>
        </w:rPr>
        <w:t>execução do ajuste.</w:t>
      </w:r>
    </w:p>
    <w:p w14:paraId="7BEA1B30" w14:textId="53419478" w:rsidR="00A27B94" w:rsidRPr="0028056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280564">
        <w:rPr>
          <w:rFonts w:ascii="Arial" w:hAnsi="Arial" w:cs="Arial"/>
          <w:bCs/>
          <w:iCs/>
          <w:lang w:val="pt-BR"/>
        </w:rPr>
        <w:t xml:space="preserve"> A Administração terá o prazo de </w:t>
      </w:r>
      <w:r w:rsidRPr="00280564">
        <w:rPr>
          <w:rFonts w:ascii="Arial" w:hAnsi="Arial" w:cs="Arial"/>
          <w:bCs/>
          <w:iCs/>
        </w:rPr>
        <w:t>1 (um) mês</w:t>
      </w:r>
      <w:r w:rsidRPr="00280564">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28056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280564">
        <w:rPr>
          <w:rFonts w:ascii="Arial" w:hAnsi="Arial" w:cs="Arial"/>
          <w:bCs/>
          <w:iCs/>
          <w:lang w:val="pt-BR"/>
        </w:rPr>
        <w:t xml:space="preserve">Responder eventuais pedidos de reestabelecimento do equilíbrio econômico-financeiro feitos pelo contratado no prazo máximo de </w:t>
      </w:r>
      <w:r w:rsidRPr="00280564">
        <w:rPr>
          <w:rFonts w:ascii="Arial" w:hAnsi="Arial" w:cs="Arial"/>
          <w:bCs/>
          <w:iCs/>
        </w:rPr>
        <w:t>1 (um) mês</w:t>
      </w:r>
      <w:r w:rsidRPr="00280564">
        <w:rPr>
          <w:rFonts w:ascii="Arial" w:hAnsi="Arial" w:cs="Arial"/>
          <w:bCs/>
          <w:iCs/>
          <w:lang w:val="pt-BR"/>
        </w:rPr>
        <w:t>.</w:t>
      </w:r>
    </w:p>
    <w:p w14:paraId="5080FE7D" w14:textId="6A49AD25"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280564">
        <w:rPr>
          <w:rFonts w:ascii="Arial" w:hAnsi="Arial" w:cs="Arial"/>
          <w:bCs/>
          <w:iCs/>
          <w:lang w:val="pt-BR"/>
        </w:rPr>
        <w:t xml:space="preserve">A Administração não responderá por quaisquer compromissos assumidos pelo Contratado com terceiros, ainda que vinculados à execução </w:t>
      </w:r>
      <w:r w:rsidRPr="008C13A3">
        <w:rPr>
          <w:rFonts w:ascii="Arial" w:hAnsi="Arial" w:cs="Arial"/>
          <w:bCs/>
          <w:iCs/>
          <w:lang w:val="pt-BR"/>
        </w:rPr>
        <w:t>do contrato, bem como por qualquer dano causado a terceiros em decorrência de ato do Contratado, de seus empregados, prepostos ou subordinados.</w:t>
      </w:r>
    </w:p>
    <w:p w14:paraId="27845908" w14:textId="77777777" w:rsidR="00385B86" w:rsidRPr="008C13A3" w:rsidRDefault="00385B86" w:rsidP="00385B86">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w:t>
      </w:r>
      <w:r w:rsidRPr="008C13A3">
        <w:rPr>
          <w:rFonts w:ascii="Arial" w:hAnsi="Arial" w:cs="Arial"/>
        </w:rPr>
        <w:lastRenderedPageBreak/>
        <w:t>parente em linha reta, colateral ou por afinidade, até o terceiro grau (art. 14, inciso IV, da Lei n.º 14.133, de 2021).</w:t>
      </w:r>
    </w:p>
    <w:p w14:paraId="507C1573" w14:textId="032FCED0"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33EF5FC5" w14:textId="6E9A1E7E" w:rsidR="00280564" w:rsidRPr="00280564" w:rsidRDefault="00280564" w:rsidP="00280564">
      <w:pPr>
        <w:pStyle w:val="PargrafodaLista"/>
        <w:numPr>
          <w:ilvl w:val="1"/>
          <w:numId w:val="2"/>
        </w:numPr>
        <w:spacing w:line="276" w:lineRule="auto"/>
        <w:ind w:left="0" w:firstLine="0"/>
        <w:jc w:val="both"/>
        <w:rPr>
          <w:rFonts w:ascii="Arial" w:hAnsi="Arial" w:cs="Arial"/>
        </w:rPr>
      </w:pPr>
      <w:r w:rsidRPr="00280564">
        <w:rPr>
          <w:rFonts w:ascii="Arial" w:hAnsi="Arial" w:cs="Arial"/>
        </w:rPr>
        <w:t>As despesas decorrentes da presente contratação correrão à conta de recursos específicos consignados no Orçamento do Município, na forma abaixo:</w:t>
      </w:r>
    </w:p>
    <w:p w14:paraId="0139E329" w14:textId="77777777" w:rsidR="00280564" w:rsidRPr="00280564" w:rsidRDefault="00280564" w:rsidP="00280564">
      <w:pPr>
        <w:spacing w:line="276" w:lineRule="auto"/>
        <w:jc w:val="both"/>
        <w:rPr>
          <w:rFonts w:ascii="Arial" w:hAnsi="Arial" w:cs="Arial"/>
        </w:rPr>
      </w:pPr>
    </w:p>
    <w:tbl>
      <w:tblPr>
        <w:tblStyle w:val="Tabelacomgrade"/>
        <w:tblW w:w="8954" w:type="dxa"/>
        <w:jc w:val="center"/>
        <w:tblLayout w:type="fixed"/>
        <w:tblLook w:val="04A0" w:firstRow="1" w:lastRow="0" w:firstColumn="1" w:lastColumn="0" w:noHBand="0" w:noVBand="1"/>
      </w:tblPr>
      <w:tblGrid>
        <w:gridCol w:w="3067"/>
        <w:gridCol w:w="2112"/>
        <w:gridCol w:w="1726"/>
        <w:gridCol w:w="2049"/>
      </w:tblGrid>
      <w:tr w:rsidR="00280564" w:rsidRPr="00280564" w14:paraId="401C9AA2" w14:textId="77777777" w:rsidTr="00CF0D14">
        <w:trPr>
          <w:jc w:val="center"/>
        </w:trPr>
        <w:tc>
          <w:tcPr>
            <w:tcW w:w="3066" w:type="dxa"/>
            <w:shd w:val="clear" w:color="auto" w:fill="auto"/>
          </w:tcPr>
          <w:p w14:paraId="24CC4029" w14:textId="77777777" w:rsidR="00280564" w:rsidRPr="00280564" w:rsidRDefault="00280564" w:rsidP="00280564">
            <w:pPr>
              <w:pStyle w:val="PargrafodaLista"/>
              <w:spacing w:line="276" w:lineRule="auto"/>
              <w:ind w:left="0"/>
              <w:jc w:val="center"/>
              <w:rPr>
                <w:rFonts w:ascii="Arial" w:hAnsi="Arial" w:cs="Arial"/>
              </w:rPr>
            </w:pPr>
            <w:r w:rsidRPr="00280564">
              <w:rPr>
                <w:rFonts w:ascii="Arial" w:hAnsi="Arial" w:cs="Arial"/>
              </w:rPr>
              <w:t>Órgão/Unidade Orçamentária</w:t>
            </w:r>
          </w:p>
        </w:tc>
        <w:tc>
          <w:tcPr>
            <w:tcW w:w="2112" w:type="dxa"/>
            <w:shd w:val="clear" w:color="auto" w:fill="auto"/>
          </w:tcPr>
          <w:p w14:paraId="4AC63B70" w14:textId="77777777" w:rsidR="00280564" w:rsidRPr="00280564" w:rsidRDefault="00280564" w:rsidP="00280564">
            <w:pPr>
              <w:pStyle w:val="PargrafodaLista"/>
              <w:spacing w:line="276" w:lineRule="auto"/>
              <w:ind w:left="0"/>
              <w:jc w:val="center"/>
              <w:rPr>
                <w:rFonts w:ascii="Arial" w:hAnsi="Arial" w:cs="Arial"/>
              </w:rPr>
            </w:pPr>
            <w:r w:rsidRPr="00280564">
              <w:rPr>
                <w:rFonts w:ascii="Arial" w:hAnsi="Arial" w:cs="Arial"/>
              </w:rPr>
              <w:t>Programa de Trabalho</w:t>
            </w:r>
          </w:p>
        </w:tc>
        <w:tc>
          <w:tcPr>
            <w:tcW w:w="1726" w:type="dxa"/>
            <w:shd w:val="clear" w:color="auto" w:fill="auto"/>
          </w:tcPr>
          <w:p w14:paraId="31E31529" w14:textId="77777777" w:rsidR="00280564" w:rsidRPr="00280564" w:rsidRDefault="00280564" w:rsidP="00280564">
            <w:pPr>
              <w:pStyle w:val="PargrafodaLista"/>
              <w:spacing w:line="276" w:lineRule="auto"/>
              <w:ind w:left="0"/>
              <w:jc w:val="center"/>
              <w:rPr>
                <w:rFonts w:ascii="Arial" w:hAnsi="Arial" w:cs="Arial"/>
              </w:rPr>
            </w:pPr>
            <w:r w:rsidRPr="00280564">
              <w:rPr>
                <w:rFonts w:ascii="Arial" w:hAnsi="Arial" w:cs="Arial"/>
              </w:rPr>
              <w:t>Fonte de Recursos</w:t>
            </w:r>
          </w:p>
        </w:tc>
        <w:tc>
          <w:tcPr>
            <w:tcW w:w="2049" w:type="dxa"/>
            <w:shd w:val="clear" w:color="auto" w:fill="auto"/>
          </w:tcPr>
          <w:p w14:paraId="6FAFA367" w14:textId="77777777" w:rsidR="00280564" w:rsidRPr="00280564" w:rsidRDefault="00280564" w:rsidP="00280564">
            <w:pPr>
              <w:pStyle w:val="PargrafodaLista"/>
              <w:spacing w:line="276" w:lineRule="auto"/>
              <w:ind w:left="0"/>
              <w:jc w:val="center"/>
              <w:rPr>
                <w:rFonts w:ascii="Arial" w:hAnsi="Arial" w:cs="Arial"/>
              </w:rPr>
            </w:pPr>
            <w:r w:rsidRPr="00280564">
              <w:rPr>
                <w:rFonts w:ascii="Arial" w:hAnsi="Arial" w:cs="Arial"/>
              </w:rPr>
              <w:t>Natureza da Despesa</w:t>
            </w:r>
          </w:p>
        </w:tc>
      </w:tr>
      <w:tr w:rsidR="00280564" w:rsidRPr="00280564" w14:paraId="2808008B" w14:textId="77777777" w:rsidTr="00CF0D14">
        <w:trPr>
          <w:jc w:val="center"/>
        </w:trPr>
        <w:tc>
          <w:tcPr>
            <w:tcW w:w="3066" w:type="dxa"/>
            <w:vMerge w:val="restart"/>
            <w:shd w:val="clear" w:color="auto" w:fill="auto"/>
          </w:tcPr>
          <w:p w14:paraId="24650834" w14:textId="77777777" w:rsidR="00280564" w:rsidRPr="00280564" w:rsidRDefault="00280564" w:rsidP="00280564">
            <w:pPr>
              <w:jc w:val="center"/>
              <w:rPr>
                <w:rFonts w:ascii="Arial" w:hAnsi="Arial" w:cs="Arial"/>
              </w:rPr>
            </w:pPr>
            <w:r w:rsidRPr="00280564">
              <w:rPr>
                <w:rFonts w:ascii="Arial" w:hAnsi="Arial" w:cs="Arial"/>
              </w:rPr>
              <w:t>Fundo Especial da Administração Fazendária e Tributária Municipal (FEAFTAM)</w:t>
            </w:r>
          </w:p>
        </w:tc>
        <w:tc>
          <w:tcPr>
            <w:tcW w:w="2112" w:type="dxa"/>
            <w:shd w:val="clear" w:color="auto" w:fill="auto"/>
          </w:tcPr>
          <w:p w14:paraId="52F87414" w14:textId="77777777" w:rsidR="00280564" w:rsidRPr="00280564" w:rsidRDefault="00280564" w:rsidP="00280564">
            <w:pPr>
              <w:jc w:val="center"/>
              <w:rPr>
                <w:rFonts w:ascii="Arial" w:hAnsi="Arial" w:cs="Arial"/>
              </w:rPr>
            </w:pPr>
            <w:r w:rsidRPr="00280564">
              <w:rPr>
                <w:rFonts w:ascii="Arial" w:hAnsi="Arial" w:cs="Arial"/>
              </w:rPr>
              <w:t>46001.0412301212.341</w:t>
            </w:r>
          </w:p>
        </w:tc>
        <w:tc>
          <w:tcPr>
            <w:tcW w:w="1726" w:type="dxa"/>
            <w:shd w:val="clear" w:color="auto" w:fill="auto"/>
          </w:tcPr>
          <w:p w14:paraId="2089FE28" w14:textId="77777777" w:rsidR="00280564" w:rsidRPr="00280564" w:rsidRDefault="00280564" w:rsidP="00280564">
            <w:pPr>
              <w:jc w:val="center"/>
              <w:rPr>
                <w:rFonts w:ascii="Arial" w:hAnsi="Arial" w:cs="Arial"/>
              </w:rPr>
            </w:pPr>
            <w:r w:rsidRPr="00280564">
              <w:rPr>
                <w:rFonts w:ascii="Arial" w:hAnsi="Arial" w:cs="Arial"/>
              </w:rPr>
              <w:t>44.90.52.13</w:t>
            </w:r>
          </w:p>
        </w:tc>
        <w:tc>
          <w:tcPr>
            <w:tcW w:w="2049" w:type="dxa"/>
            <w:shd w:val="clear" w:color="auto" w:fill="auto"/>
          </w:tcPr>
          <w:p w14:paraId="68E804AB" w14:textId="77777777" w:rsidR="00280564" w:rsidRPr="00280564" w:rsidRDefault="00280564" w:rsidP="00280564">
            <w:pPr>
              <w:jc w:val="center"/>
              <w:rPr>
                <w:rFonts w:ascii="Arial" w:hAnsi="Arial" w:cs="Arial"/>
              </w:rPr>
            </w:pPr>
            <w:r w:rsidRPr="00280564">
              <w:rPr>
                <w:rFonts w:ascii="Arial" w:hAnsi="Arial" w:cs="Arial"/>
              </w:rPr>
              <w:t>2759000000140</w:t>
            </w:r>
          </w:p>
        </w:tc>
      </w:tr>
      <w:tr w:rsidR="00280564" w:rsidRPr="00280564" w14:paraId="15B8BA8C" w14:textId="77777777" w:rsidTr="00CF0D14">
        <w:trPr>
          <w:jc w:val="center"/>
        </w:trPr>
        <w:tc>
          <w:tcPr>
            <w:tcW w:w="3066" w:type="dxa"/>
            <w:vMerge/>
            <w:shd w:val="clear" w:color="auto" w:fill="auto"/>
          </w:tcPr>
          <w:p w14:paraId="5609A7F7" w14:textId="77777777" w:rsidR="00280564" w:rsidRPr="00280564" w:rsidRDefault="00280564" w:rsidP="00280564">
            <w:pPr>
              <w:jc w:val="center"/>
              <w:rPr>
                <w:rFonts w:ascii="Arial" w:hAnsi="Arial" w:cs="Arial"/>
              </w:rPr>
            </w:pPr>
          </w:p>
        </w:tc>
        <w:tc>
          <w:tcPr>
            <w:tcW w:w="2112" w:type="dxa"/>
            <w:tcBorders>
              <w:top w:val="nil"/>
            </w:tcBorders>
            <w:shd w:val="clear" w:color="auto" w:fill="auto"/>
          </w:tcPr>
          <w:p w14:paraId="4B7D95E8" w14:textId="77777777" w:rsidR="00280564" w:rsidRPr="00280564" w:rsidRDefault="00280564" w:rsidP="00280564">
            <w:pPr>
              <w:jc w:val="center"/>
              <w:rPr>
                <w:rFonts w:ascii="Arial" w:hAnsi="Arial" w:cs="Arial"/>
              </w:rPr>
            </w:pPr>
            <w:r w:rsidRPr="00280564">
              <w:rPr>
                <w:rFonts w:ascii="Arial" w:hAnsi="Arial" w:cs="Arial"/>
              </w:rPr>
              <w:t>46002.0412301222.343</w:t>
            </w:r>
          </w:p>
        </w:tc>
        <w:tc>
          <w:tcPr>
            <w:tcW w:w="1726" w:type="dxa"/>
            <w:tcBorders>
              <w:top w:val="nil"/>
            </w:tcBorders>
            <w:shd w:val="clear" w:color="auto" w:fill="auto"/>
          </w:tcPr>
          <w:p w14:paraId="2BECC3B1" w14:textId="77777777" w:rsidR="00280564" w:rsidRPr="00280564" w:rsidRDefault="00280564" w:rsidP="00280564">
            <w:pPr>
              <w:jc w:val="center"/>
              <w:rPr>
                <w:rFonts w:ascii="Arial" w:hAnsi="Arial" w:cs="Arial"/>
              </w:rPr>
            </w:pPr>
            <w:r w:rsidRPr="00280564">
              <w:rPr>
                <w:rFonts w:ascii="Arial" w:hAnsi="Arial" w:cs="Arial"/>
              </w:rPr>
              <w:t>44.90.52.13</w:t>
            </w:r>
          </w:p>
        </w:tc>
        <w:tc>
          <w:tcPr>
            <w:tcW w:w="2049" w:type="dxa"/>
            <w:tcBorders>
              <w:top w:val="nil"/>
            </w:tcBorders>
            <w:shd w:val="clear" w:color="auto" w:fill="auto"/>
          </w:tcPr>
          <w:p w14:paraId="351C320C" w14:textId="77777777" w:rsidR="00280564" w:rsidRPr="00280564" w:rsidRDefault="00280564" w:rsidP="00280564">
            <w:pPr>
              <w:jc w:val="center"/>
              <w:rPr>
                <w:rFonts w:ascii="Arial" w:hAnsi="Arial" w:cs="Arial"/>
              </w:rPr>
            </w:pPr>
            <w:r w:rsidRPr="00280564">
              <w:rPr>
                <w:rFonts w:ascii="Arial" w:hAnsi="Arial" w:cs="Arial"/>
              </w:rPr>
              <w:t>1759000000240</w:t>
            </w:r>
          </w:p>
        </w:tc>
      </w:tr>
    </w:tbl>
    <w:p w14:paraId="586B74EB" w14:textId="77777777" w:rsidR="00280564" w:rsidRPr="00280564" w:rsidRDefault="00280564" w:rsidP="00280564">
      <w:pPr>
        <w:spacing w:line="276" w:lineRule="auto"/>
        <w:jc w:val="both"/>
        <w:rPr>
          <w:rFonts w:ascii="Arial" w:hAnsi="Arial" w:cs="Arial"/>
        </w:rPr>
      </w:pPr>
    </w:p>
    <w:p w14:paraId="2D352184" w14:textId="2C4654D1" w:rsidR="00280564" w:rsidRPr="00280564" w:rsidRDefault="00280564" w:rsidP="00280564">
      <w:pPr>
        <w:pStyle w:val="PargrafodaLista"/>
        <w:numPr>
          <w:ilvl w:val="1"/>
          <w:numId w:val="2"/>
        </w:numPr>
        <w:spacing w:line="276" w:lineRule="auto"/>
        <w:ind w:left="0" w:firstLine="0"/>
        <w:jc w:val="both"/>
        <w:rPr>
          <w:rFonts w:ascii="Arial" w:hAnsi="Arial" w:cs="Arial"/>
        </w:rPr>
      </w:pPr>
      <w:r w:rsidRPr="00280564">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20E65AB8"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 xml:space="preserve">art. 7º, §3º, inciso V, do Decreto n. 7.724, </w:t>
        </w:r>
        <w:r w:rsidRPr="008C13A3">
          <w:rPr>
            <w:rStyle w:val="Hyperlink"/>
            <w:rFonts w:ascii="Arial" w:hAnsi="Arial" w:cs="Arial"/>
          </w:rPr>
          <w:lastRenderedPageBreak/>
          <w:t>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A601C" w14:textId="77777777" w:rsidR="00740492" w:rsidRDefault="00740492">
      <w:r>
        <w:separator/>
      </w:r>
    </w:p>
  </w:endnote>
  <w:endnote w:type="continuationSeparator" w:id="0">
    <w:p w14:paraId="4A4F9D53" w14:textId="77777777" w:rsidR="00740492" w:rsidRDefault="00740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0763" w14:textId="77777777" w:rsidR="00740492" w:rsidRDefault="00740492">
      <w:r>
        <w:separator/>
      </w:r>
    </w:p>
  </w:footnote>
  <w:footnote w:type="continuationSeparator" w:id="0">
    <w:p w14:paraId="6048367F" w14:textId="77777777" w:rsidR="00740492" w:rsidRDefault="00740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8627F"/>
    <w:rsid w:val="00090A03"/>
    <w:rsid w:val="00090C31"/>
    <w:rsid w:val="00092735"/>
    <w:rsid w:val="00097D7B"/>
    <w:rsid w:val="000A1E64"/>
    <w:rsid w:val="000B23ED"/>
    <w:rsid w:val="000D17CB"/>
    <w:rsid w:val="000D45F1"/>
    <w:rsid w:val="000D6176"/>
    <w:rsid w:val="000E1E87"/>
    <w:rsid w:val="000E4CF2"/>
    <w:rsid w:val="000E4D70"/>
    <w:rsid w:val="000E6000"/>
    <w:rsid w:val="000E684C"/>
    <w:rsid w:val="000E6DAE"/>
    <w:rsid w:val="000E7913"/>
    <w:rsid w:val="000F0F17"/>
    <w:rsid w:val="000F2826"/>
    <w:rsid w:val="000F46E9"/>
    <w:rsid w:val="000F4D4D"/>
    <w:rsid w:val="00100FEB"/>
    <w:rsid w:val="0010179C"/>
    <w:rsid w:val="00102A53"/>
    <w:rsid w:val="001079D7"/>
    <w:rsid w:val="001149D8"/>
    <w:rsid w:val="001159AE"/>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0564"/>
    <w:rsid w:val="0028199E"/>
    <w:rsid w:val="0028504B"/>
    <w:rsid w:val="00296174"/>
    <w:rsid w:val="002A4753"/>
    <w:rsid w:val="002A5731"/>
    <w:rsid w:val="002A7071"/>
    <w:rsid w:val="002B28F4"/>
    <w:rsid w:val="002B3DAB"/>
    <w:rsid w:val="002D37A5"/>
    <w:rsid w:val="002E0D02"/>
    <w:rsid w:val="002E43FD"/>
    <w:rsid w:val="002E71FD"/>
    <w:rsid w:val="002F2CC8"/>
    <w:rsid w:val="002F585C"/>
    <w:rsid w:val="0031224F"/>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466"/>
    <w:rsid w:val="00370B10"/>
    <w:rsid w:val="00374B3F"/>
    <w:rsid w:val="00380F2F"/>
    <w:rsid w:val="0038358C"/>
    <w:rsid w:val="00385663"/>
    <w:rsid w:val="00385B86"/>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E4C59"/>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67E53"/>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544D6"/>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0492"/>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233F"/>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3C8F"/>
    <w:rsid w:val="00D249B9"/>
    <w:rsid w:val="00D2776D"/>
    <w:rsid w:val="00D27AFB"/>
    <w:rsid w:val="00D5096A"/>
    <w:rsid w:val="00D653DF"/>
    <w:rsid w:val="00D6665A"/>
    <w:rsid w:val="00D7231B"/>
    <w:rsid w:val="00D7299B"/>
    <w:rsid w:val="00D73E45"/>
    <w:rsid w:val="00D80C21"/>
    <w:rsid w:val="00D90EA5"/>
    <w:rsid w:val="00D9158F"/>
    <w:rsid w:val="00D97BF6"/>
    <w:rsid w:val="00DA0D02"/>
    <w:rsid w:val="00DA57AB"/>
    <w:rsid w:val="00DA7D88"/>
    <w:rsid w:val="00DB1B33"/>
    <w:rsid w:val="00DB35C5"/>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5453"/>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tex3">
    <w:name w:val="tex3"/>
    <w:basedOn w:val="Fontepargpadro"/>
    <w:qFormat/>
    <w:rsid w:val="006544D6"/>
  </w:style>
  <w:style w:type="paragraph" w:customStyle="1" w:styleId="Contedodatabela">
    <w:name w:val="Conteúdo da tabela"/>
    <w:basedOn w:val="Normal"/>
    <w:qFormat/>
    <w:rsid w:val="006544D6"/>
    <w:pPr>
      <w:suppressLineNumbers/>
      <w:suppressAutoHyphens/>
      <w:autoSpaceDE/>
      <w:autoSpaceDN/>
    </w:pPr>
    <w:rPr>
      <w:rFonts w:ascii="Times New Roman" w:eastAsia="Times New Roman" w:hAnsi="Times New Roman" w:cs="Times New Roman"/>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5890</Words>
  <Characters>31812</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53</cp:revision>
  <cp:lastPrinted>2025-11-28T18:18:00Z</cp:lastPrinted>
  <dcterms:created xsi:type="dcterms:W3CDTF">2023-08-18T18:10:00Z</dcterms:created>
  <dcterms:modified xsi:type="dcterms:W3CDTF">2025-11-28T18:18:00Z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